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Tutino Francesco Vincenzo Maria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440"/>
        <w:spacing w:after="0" w:line="328" w:lineRule="auto"/>
        <w:rPr>
          <w:sz w:val="20"/>
          <w:szCs w:val="20"/>
          <w:color w:val="auto"/>
        </w:rPr>
      </w:pPr>
      <w:r>
        <w:rPr>
          <w:rFonts w:ascii="Times New Roman" w:cs="Times New Roman" w:eastAsia="Times New Roman" w:hAnsi="Times New Roman"/>
          <w:sz w:val="16"/>
          <w:szCs w:val="16"/>
          <w:color w:val="0000FF"/>
        </w:rPr>
        <w:t>C/O CNH INDUSTRIAL N.V. CRANES FARM ROAD, BASILDON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CNH Industrial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CNH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ESSEX</w:t>
            </w:r>
          </w:p>
        </w:tc>
        <w:tc>
          <w:tcPr>
            <w:tcW w:w="84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w w:val="86"/>
              </w:rPr>
              <w:t>X0</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SS14 3AD</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34,997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64,235</w:t>
            </w:r>
            <w:r>
              <w:rPr>
                <w:rFonts w:ascii="Times New Roman" w:cs="Times New Roman" w:eastAsia="Times New Roman" w:hAnsi="Times New Roman"/>
                <w:sz w:val="11"/>
                <w:szCs w:val="11"/>
                <w:color w:val="008000"/>
              </w:rPr>
              <w:t>(2)(3)</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840" w:type="dxa"/>
            <w:vAlign w:val="bottom"/>
            <w:vMerge w:val="continue"/>
          </w:tcPr>
          <w:p>
            <w:pPr>
              <w:spacing w:after="0"/>
              <w:rPr>
                <w:sz w:val="12"/>
                <w:szCs w:val="12"/>
                <w:color w:val="auto"/>
              </w:rPr>
            </w:pPr>
          </w:p>
        </w:tc>
        <w:tc>
          <w:tcPr>
            <w:tcW w:w="98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rPr>
              <w:t>05/26/2026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34,997</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("RSUs") convert into common shares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26, 2026, the Reporting Person was granted 34,997 RSUs vesting on February 28, 2029.</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16, 2025, the reporting person was granted 161,820 RSUs, 27,211 of which previously vested on August 5, 2025, 105,371 of which previously vested on May 4, 2026 and 29,238 of which vests on May 10, 2028.</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Eric Mathison,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05/27/2026</w:t>
            </w:r>
          </w:p>
        </w:tc>
        <w:tc>
          <w:tcPr>
            <w:tcW w:w="0" w:type="dxa"/>
            <w:vAlign w:val="bottom"/>
          </w:tcPr>
          <w:p>
            <w:pPr>
              <w:spacing w:after="0"/>
              <w:rPr>
                <w:sz w:val="1"/>
                <w:szCs w:val="1"/>
                <w:color w:val="auto"/>
              </w:rPr>
            </w:pPr>
          </w:p>
        </w:tc>
      </w:tr>
      <w:tr>
        <w:trPr>
          <w:trHeight w:val="88"/>
        </w:trPr>
        <w:tc>
          <w:tcPr>
            <w:tcW w:w="2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3"/>
              </w:rPr>
              <w:t>fact</w:t>
            </w:r>
          </w:p>
        </w:tc>
        <w:tc>
          <w:tcPr>
            <w:tcW w:w="1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6670" TargetMode="External"/><Relationship Id="rId14" Type="http://schemas.openxmlformats.org/officeDocument/2006/relationships/hyperlink" Target="http://www.sec.gov/cgi-bin/browse-edgar?action=getcompany&amp;CIK=00015670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2026-05-27T13:38:32Z</dcterms:created>
  <dcterms:modified xsi:type="dcterms:W3CDTF">2026-05-27T13:38:32Z</dcterms:modified>
</cp:coreProperties>
</file>